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9C8" w:rsidRDefault="000A09C8">
      <w:pPr>
        <w:pStyle w:val="Body"/>
        <w:rPr>
          <w:rFonts w:ascii="Times" w:hAnsi="Times"/>
          <w:sz w:val="20"/>
          <w:szCs w:val="20"/>
        </w:rPr>
      </w:pPr>
      <w:bookmarkStart w:id="0" w:name="_GoBack"/>
      <w:bookmarkEnd w:id="0"/>
    </w:p>
    <w:p w:rsidR="000A09C8" w:rsidRDefault="000A09C8">
      <w:pPr>
        <w:pStyle w:val="Body"/>
        <w:rPr>
          <w:i/>
          <w:iCs/>
        </w:rPr>
      </w:pPr>
    </w:p>
    <w:p w:rsidR="000A09C8" w:rsidRDefault="008B7463">
      <w:pPr>
        <w:pStyle w:val="Body"/>
        <w:rPr>
          <w:sz w:val="32"/>
          <w:szCs w:val="32"/>
        </w:rPr>
      </w:pPr>
      <w:r>
        <w:rPr>
          <w:noProof/>
          <w:sz w:val="32"/>
          <w:szCs w:val="32"/>
        </w:rPr>
        <w:drawing>
          <wp:inline distT="0" distB="0" distL="0" distR="0">
            <wp:extent cx="1775337" cy="495300"/>
            <wp:effectExtent l="0" t="0" r="0" b="0"/>
            <wp:docPr id="1073741825" name="officeArt object" descr="Macintosh HD:Users:shark:Desktop:2016-tbr-logo_3d897999-4e70-4b1c-b98c-9e471d3598bb_medium.png"/>
            <wp:cNvGraphicFramePr/>
            <a:graphic xmlns:a="http://schemas.openxmlformats.org/drawingml/2006/main">
              <a:graphicData uri="http://schemas.openxmlformats.org/drawingml/2006/picture">
                <pic:pic xmlns:pic="http://schemas.openxmlformats.org/drawingml/2006/picture">
                  <pic:nvPicPr>
                    <pic:cNvPr id="1073741825" name="Macintosh HD:Users:shark:Desktop:2016-tbr-logo_3d897999-4e70-4b1c-b98c-9e471d3598bb_medium.png" descr="Macintosh HD:Users:shark:Desktop:2016-tbr-logo_3d897999-4e70-4b1c-b98c-9e471d3598bb_medium.png"/>
                    <pic:cNvPicPr>
                      <a:picLocks noChangeAspect="1"/>
                    </pic:cNvPicPr>
                  </pic:nvPicPr>
                  <pic:blipFill>
                    <a:blip r:embed="rId7"/>
                    <a:stretch>
                      <a:fillRect/>
                    </a:stretch>
                  </pic:blipFill>
                  <pic:spPr>
                    <a:xfrm>
                      <a:off x="0" y="0"/>
                      <a:ext cx="1775337" cy="495300"/>
                    </a:xfrm>
                    <a:prstGeom prst="rect">
                      <a:avLst/>
                    </a:prstGeom>
                    <a:ln w="12700" cap="flat">
                      <a:noFill/>
                      <a:miter lim="400000"/>
                    </a:ln>
                    <a:effectLst/>
                  </pic:spPr>
                </pic:pic>
              </a:graphicData>
            </a:graphic>
          </wp:inline>
        </w:drawing>
      </w:r>
    </w:p>
    <w:p w:rsidR="000A09C8" w:rsidRDefault="000A09C8">
      <w:pPr>
        <w:pStyle w:val="Body"/>
        <w:rPr>
          <w:sz w:val="32"/>
          <w:szCs w:val="32"/>
        </w:rPr>
      </w:pPr>
    </w:p>
    <w:p w:rsidR="000A09C8" w:rsidRDefault="008B7463">
      <w:pPr>
        <w:pStyle w:val="Body"/>
        <w:rPr>
          <w:sz w:val="32"/>
          <w:szCs w:val="32"/>
        </w:rPr>
      </w:pPr>
      <w:r>
        <w:rPr>
          <w:sz w:val="32"/>
          <w:szCs w:val="32"/>
        </w:rPr>
        <w:t>Minimum Advertised Pricing Policy/Agreement</w:t>
      </w:r>
    </w:p>
    <w:p w:rsidR="000A09C8" w:rsidRDefault="000A09C8">
      <w:pPr>
        <w:pStyle w:val="Body"/>
        <w:rPr>
          <w:i/>
          <w:iCs/>
        </w:rPr>
      </w:pPr>
    </w:p>
    <w:p w:rsidR="000A09C8" w:rsidRDefault="008B7463">
      <w:pPr>
        <w:pStyle w:val="Body"/>
        <w:rPr>
          <w:i/>
          <w:iCs/>
        </w:rPr>
      </w:pPr>
      <w:r>
        <w:rPr>
          <w:i/>
          <w:iCs/>
        </w:rPr>
        <w:t>Effective January 1, 2017, a Minimum Advertised Price (MAP) on TBR products is in effect.</w:t>
      </w:r>
    </w:p>
    <w:p w:rsidR="000A09C8" w:rsidRDefault="000A09C8">
      <w:pPr>
        <w:pStyle w:val="Body"/>
      </w:pPr>
    </w:p>
    <w:p w:rsidR="000A09C8" w:rsidRDefault="008B7463">
      <w:pPr>
        <w:pStyle w:val="ListParagraph"/>
        <w:numPr>
          <w:ilvl w:val="0"/>
          <w:numId w:val="2"/>
        </w:numPr>
      </w:pPr>
      <w:r>
        <w:t xml:space="preserve">TBR has spent an extensive amount of time building a brand of strong recognition and a high-perceived value. By not adhering to the established Minimum Advertised Price (MAP) a reseller can have a dramatic effect of diminishing or detracting from the perceived value of the TBR brand and its products. </w:t>
      </w:r>
    </w:p>
    <w:p w:rsidR="000A09C8" w:rsidRDefault="000A09C8">
      <w:pPr>
        <w:pStyle w:val="Body"/>
      </w:pPr>
    </w:p>
    <w:p w:rsidR="000A09C8" w:rsidRDefault="008B7463">
      <w:pPr>
        <w:pStyle w:val="Body"/>
        <w:rPr>
          <w:i/>
          <w:iCs/>
        </w:rPr>
      </w:pPr>
      <w:r>
        <w:rPr>
          <w:i/>
          <w:iCs/>
        </w:rPr>
        <w:t>TBR products for the above price policy will be displayed on the attached retail price sheet.</w:t>
      </w:r>
    </w:p>
    <w:p w:rsidR="000A09C8" w:rsidRDefault="000A09C8">
      <w:pPr>
        <w:pStyle w:val="Body"/>
      </w:pPr>
    </w:p>
    <w:p w:rsidR="000A09C8" w:rsidRDefault="008B7463">
      <w:pPr>
        <w:pStyle w:val="ListParagraph"/>
        <w:numPr>
          <w:ilvl w:val="0"/>
          <w:numId w:val="2"/>
        </w:numPr>
      </w:pPr>
      <w:r>
        <w:t>If the item does not appear on the attached price sheet, it does not fall under this policy.</w:t>
      </w:r>
    </w:p>
    <w:p w:rsidR="000A09C8" w:rsidRDefault="000A09C8">
      <w:pPr>
        <w:pStyle w:val="Body"/>
      </w:pPr>
    </w:p>
    <w:p w:rsidR="000A09C8" w:rsidRDefault="008B7463">
      <w:pPr>
        <w:pStyle w:val="Body"/>
        <w:rPr>
          <w:i/>
          <w:iCs/>
        </w:rPr>
      </w:pPr>
      <w:r>
        <w:rPr>
          <w:i/>
          <w:iCs/>
        </w:rPr>
        <w:t xml:space="preserve">The MAP policy shall work under the following guidelines: </w:t>
      </w:r>
    </w:p>
    <w:p w:rsidR="000A09C8" w:rsidRDefault="000A09C8">
      <w:pPr>
        <w:pStyle w:val="Body"/>
      </w:pPr>
    </w:p>
    <w:p w:rsidR="000A09C8" w:rsidRDefault="008B7463">
      <w:pPr>
        <w:pStyle w:val="ListParagraph"/>
        <w:numPr>
          <w:ilvl w:val="0"/>
          <w:numId w:val="2"/>
        </w:numPr>
      </w:pPr>
      <w:r>
        <w:t xml:space="preserve">The Minimum Advertised Price for listed TBR product shall not be less than The Manufacturer’s Suggested Retail Price (MSRP) as published on the TBR price sheet or via our website twobros.com. </w:t>
      </w:r>
    </w:p>
    <w:p w:rsidR="000A09C8" w:rsidRDefault="000A09C8">
      <w:pPr>
        <w:pStyle w:val="Body"/>
      </w:pPr>
    </w:p>
    <w:p w:rsidR="000A09C8" w:rsidRDefault="008B7463">
      <w:pPr>
        <w:pStyle w:val="ListParagraph"/>
        <w:numPr>
          <w:ilvl w:val="0"/>
          <w:numId w:val="2"/>
        </w:numPr>
      </w:pPr>
      <w:r>
        <w:t xml:space="preserve">The MAP policy applies to all advertisements of listed TBR products in any and all media, including, but not limited to, flyers, posters, coupons, mailers, inserts, newspapers, magazines, catalogs, mail order catalogs, email newsletters, email solicitations, Internet or similar electronic media, television, radio, and public signage. </w:t>
      </w:r>
    </w:p>
    <w:p w:rsidR="000A09C8" w:rsidRDefault="000A09C8">
      <w:pPr>
        <w:pStyle w:val="Body"/>
      </w:pPr>
    </w:p>
    <w:p w:rsidR="000A09C8" w:rsidRDefault="008B7463">
      <w:pPr>
        <w:pStyle w:val="ListParagraph"/>
        <w:numPr>
          <w:ilvl w:val="0"/>
          <w:numId w:val="2"/>
        </w:numPr>
      </w:pPr>
      <w:r>
        <w:t xml:space="preserve">MAP applies only to advertised prices and does not apply to the price at which the products are </w:t>
      </w:r>
      <w:proofErr w:type="gramStart"/>
      <w:r>
        <w:t>actually sold</w:t>
      </w:r>
      <w:proofErr w:type="gramEnd"/>
      <w:r>
        <w:t xml:space="preserve"> or offered for sale to an individual consumer within the dealer’s retail location or over the telephone.</w:t>
      </w:r>
    </w:p>
    <w:p w:rsidR="000A09C8" w:rsidRDefault="000A09C8">
      <w:pPr>
        <w:pStyle w:val="Body"/>
      </w:pPr>
    </w:p>
    <w:p w:rsidR="000A09C8" w:rsidRDefault="008B7463">
      <w:pPr>
        <w:pStyle w:val="ListParagraph"/>
        <w:numPr>
          <w:ilvl w:val="0"/>
          <w:numId w:val="2"/>
        </w:numPr>
      </w:pPr>
      <w:r>
        <w:t>MAP policy does not in any way limit the ability of any dealer to advertise that “they have the lowest prices” or, they “will meet or beat any competitors price”, that consumers should “call for a price” or phrases of similar import as long as the price advertised or listed for the products is not less than MAP</w:t>
      </w:r>
    </w:p>
    <w:p w:rsidR="000A09C8" w:rsidRDefault="000A09C8">
      <w:pPr>
        <w:pStyle w:val="Body"/>
      </w:pPr>
    </w:p>
    <w:p w:rsidR="000A09C8" w:rsidRDefault="008B7463">
      <w:pPr>
        <w:pStyle w:val="ListParagraph"/>
        <w:numPr>
          <w:ilvl w:val="0"/>
          <w:numId w:val="2"/>
        </w:numPr>
      </w:pPr>
      <w:r>
        <w:t xml:space="preserve">Prices for listed TBR products that are below the MSRP may not appear in any online search tool (e.g.: Google Shopper, Price Grabber, </w:t>
      </w:r>
      <w:proofErr w:type="spellStart"/>
      <w:r>
        <w:t>NextTag</w:t>
      </w:r>
      <w:proofErr w:type="spellEnd"/>
      <w:r>
        <w:t>, etc.) where your website is linked as the source.</w:t>
      </w:r>
    </w:p>
    <w:p w:rsidR="000A09C8" w:rsidRDefault="000A09C8">
      <w:pPr>
        <w:pStyle w:val="Body"/>
      </w:pPr>
    </w:p>
    <w:p w:rsidR="000A09C8" w:rsidRDefault="008B7463">
      <w:pPr>
        <w:pStyle w:val="ListParagraph"/>
        <w:numPr>
          <w:ilvl w:val="0"/>
          <w:numId w:val="2"/>
        </w:numPr>
      </w:pPr>
      <w:r>
        <w:t xml:space="preserve">TBR may choose to offer special promotions on certain products. In such an event, we reserve the right to modify or suspend this MAP Policy in whole or in part by notifying all Resellers of the duration and nature of the change. TBR further reserves </w:t>
      </w:r>
      <w:r>
        <w:lastRenderedPageBreak/>
        <w:t>the right to adjust the MSRP with respect to all or certain products at its sole discretion. Such changes shall apply equally to all Resellers.</w:t>
      </w:r>
    </w:p>
    <w:p w:rsidR="000A09C8" w:rsidRDefault="000A09C8">
      <w:pPr>
        <w:pStyle w:val="Body"/>
      </w:pPr>
    </w:p>
    <w:p w:rsidR="000A09C8" w:rsidRDefault="000A09C8">
      <w:pPr>
        <w:pStyle w:val="Body"/>
      </w:pPr>
    </w:p>
    <w:p w:rsidR="000A09C8" w:rsidRDefault="000A09C8">
      <w:pPr>
        <w:pStyle w:val="Body"/>
        <w:rPr>
          <w:i/>
          <w:iCs/>
        </w:rPr>
      </w:pPr>
    </w:p>
    <w:p w:rsidR="000A09C8" w:rsidRDefault="000A09C8">
      <w:pPr>
        <w:pStyle w:val="Body"/>
        <w:rPr>
          <w:i/>
          <w:iCs/>
        </w:rPr>
      </w:pPr>
    </w:p>
    <w:p w:rsidR="000A09C8" w:rsidRDefault="000A09C8">
      <w:pPr>
        <w:pStyle w:val="Body"/>
        <w:rPr>
          <w:i/>
          <w:iCs/>
        </w:rPr>
      </w:pPr>
    </w:p>
    <w:p w:rsidR="000A09C8" w:rsidRDefault="008B7463">
      <w:pPr>
        <w:pStyle w:val="Body"/>
        <w:rPr>
          <w:i/>
          <w:iCs/>
        </w:rPr>
      </w:pPr>
      <w:r>
        <w:rPr>
          <w:i/>
          <w:iCs/>
        </w:rPr>
        <w:t>Violations of the Policy will be addressed as follows:</w:t>
      </w:r>
    </w:p>
    <w:p w:rsidR="000A09C8" w:rsidRDefault="000A09C8">
      <w:pPr>
        <w:pStyle w:val="Body"/>
      </w:pPr>
    </w:p>
    <w:p w:rsidR="000A09C8" w:rsidRDefault="008B7463">
      <w:pPr>
        <w:pStyle w:val="ListParagraph"/>
        <w:numPr>
          <w:ilvl w:val="0"/>
          <w:numId w:val="4"/>
        </w:numPr>
      </w:pPr>
      <w:r>
        <w:t xml:space="preserve">First Violation:  Dealer will receive notice of violation and be given thirty (30) calendar days to remove any print violations and 24 hours to remove electronic violations.  Failure to comply will result in dealer being added to Do Not Sell List for </w:t>
      </w:r>
      <w:proofErr w:type="gramStart"/>
      <w:r>
        <w:t>a period of time</w:t>
      </w:r>
      <w:proofErr w:type="gramEnd"/>
      <w:r>
        <w:t xml:space="preserve"> determined by TBR.</w:t>
      </w:r>
    </w:p>
    <w:p w:rsidR="000A09C8" w:rsidRDefault="000A09C8">
      <w:pPr>
        <w:pStyle w:val="Body"/>
      </w:pPr>
    </w:p>
    <w:p w:rsidR="000A09C8" w:rsidRDefault="008B7463">
      <w:pPr>
        <w:pStyle w:val="ListParagraph"/>
        <w:numPr>
          <w:ilvl w:val="0"/>
          <w:numId w:val="4"/>
        </w:numPr>
      </w:pPr>
      <w:r>
        <w:t>Second Violation:  Dealer will receive notice and may at TBR sole discretion be placed on a Do Not Sell List for a period of thirty (30) days from the date of the violation notice.</w:t>
      </w:r>
    </w:p>
    <w:p w:rsidR="000A09C8" w:rsidRDefault="000A09C8">
      <w:pPr>
        <w:pStyle w:val="HeadingRed"/>
      </w:pPr>
    </w:p>
    <w:p w:rsidR="000A09C8" w:rsidRDefault="008B7463">
      <w:pPr>
        <w:pStyle w:val="ListParagraph"/>
        <w:numPr>
          <w:ilvl w:val="0"/>
          <w:numId w:val="4"/>
        </w:numPr>
      </w:pPr>
      <w:r>
        <w:t>Final Violation:  Dealer will receive a Notice and may at TBR sole discretion be placed on TBR’s Do Not Sell List indefinitely.</w:t>
      </w:r>
    </w:p>
    <w:p w:rsidR="000A09C8" w:rsidRDefault="000A09C8">
      <w:pPr>
        <w:pStyle w:val="Body"/>
      </w:pPr>
    </w:p>
    <w:p w:rsidR="000A09C8" w:rsidRDefault="000A09C8">
      <w:pPr>
        <w:pStyle w:val="Body"/>
      </w:pPr>
    </w:p>
    <w:p w:rsidR="000A09C8" w:rsidRDefault="008B7463">
      <w:pPr>
        <w:pStyle w:val="Default"/>
        <w:rPr>
          <w:sz w:val="22"/>
          <w:szCs w:val="22"/>
        </w:rPr>
      </w:pPr>
      <w:r>
        <w:rPr>
          <w:sz w:val="22"/>
          <w:szCs w:val="22"/>
        </w:rPr>
        <w:t xml:space="preserve">Questions about this policy should be directed to: </w:t>
      </w:r>
    </w:p>
    <w:p w:rsidR="000A09C8" w:rsidRDefault="00200CAA">
      <w:pPr>
        <w:pStyle w:val="Default"/>
        <w:rPr>
          <w:sz w:val="22"/>
          <w:szCs w:val="22"/>
        </w:rPr>
      </w:pPr>
      <w:hyperlink r:id="rId8" w:history="1">
        <w:r w:rsidR="008B7463">
          <w:rPr>
            <w:rStyle w:val="Hyperlink0"/>
          </w:rPr>
          <w:t>mark@twobros.com</w:t>
        </w:r>
      </w:hyperlink>
    </w:p>
    <w:p w:rsidR="000A09C8" w:rsidRDefault="000A09C8">
      <w:pPr>
        <w:pStyle w:val="Default"/>
        <w:rPr>
          <w:sz w:val="22"/>
          <w:szCs w:val="22"/>
        </w:rPr>
      </w:pPr>
    </w:p>
    <w:p w:rsidR="000A09C8" w:rsidRDefault="000A09C8">
      <w:pPr>
        <w:pStyle w:val="Default"/>
        <w:rPr>
          <w:sz w:val="22"/>
          <w:szCs w:val="22"/>
        </w:rPr>
      </w:pPr>
    </w:p>
    <w:p w:rsidR="000A09C8" w:rsidRDefault="000A09C8">
      <w:pPr>
        <w:pStyle w:val="Default"/>
        <w:rPr>
          <w:sz w:val="22"/>
          <w:szCs w:val="22"/>
        </w:rPr>
      </w:pPr>
    </w:p>
    <w:tbl>
      <w:tblPr>
        <w:tblW w:w="104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62"/>
        <w:gridCol w:w="2096"/>
        <w:gridCol w:w="4870"/>
        <w:gridCol w:w="1576"/>
      </w:tblGrid>
      <w:tr w:rsidR="000A09C8">
        <w:trPr>
          <w:trHeight w:val="740"/>
        </w:trPr>
        <w:tc>
          <w:tcPr>
            <w:tcW w:w="1862" w:type="dxa"/>
            <w:tcBorders>
              <w:top w:val="nil"/>
              <w:left w:val="nil"/>
              <w:bottom w:val="nil"/>
              <w:right w:val="nil"/>
            </w:tcBorders>
            <w:shd w:val="clear" w:color="auto" w:fill="auto"/>
            <w:tcMar>
              <w:top w:w="80" w:type="dxa"/>
              <w:left w:w="80" w:type="dxa"/>
              <w:bottom w:w="80" w:type="dxa"/>
              <w:right w:w="80" w:type="dxa"/>
            </w:tcMar>
            <w:vAlign w:val="bottom"/>
          </w:tcPr>
          <w:p w:rsidR="000A09C8" w:rsidRDefault="000A09C8">
            <w:pPr>
              <w:pStyle w:val="Body"/>
              <w:rPr>
                <w:rFonts w:ascii="Calibri" w:eastAsia="Calibri" w:hAnsi="Calibri" w:cs="Calibri"/>
              </w:rPr>
            </w:pPr>
          </w:p>
          <w:p w:rsidR="000A09C8" w:rsidRDefault="008B7463">
            <w:pPr>
              <w:pStyle w:val="Body"/>
              <w:rPr>
                <w:rFonts w:ascii="Calibri" w:eastAsia="Calibri" w:hAnsi="Calibri" w:cs="Calibri"/>
                <w:sz w:val="20"/>
                <w:szCs w:val="20"/>
              </w:rPr>
            </w:pPr>
            <w:r>
              <w:rPr>
                <w:rFonts w:ascii="Calibri" w:eastAsia="Calibri" w:hAnsi="Calibri" w:cs="Calibri"/>
                <w:sz w:val="20"/>
                <w:szCs w:val="20"/>
              </w:rPr>
              <w:t> </w:t>
            </w:r>
          </w:p>
        </w:tc>
        <w:tc>
          <w:tcPr>
            <w:tcW w:w="2096" w:type="dxa"/>
            <w:tcBorders>
              <w:top w:val="nil"/>
              <w:left w:val="nil"/>
              <w:bottom w:val="nil"/>
              <w:right w:val="nil"/>
            </w:tcBorders>
            <w:shd w:val="clear" w:color="auto" w:fill="FFFFFF"/>
            <w:tcMar>
              <w:top w:w="80" w:type="dxa"/>
              <w:left w:w="80" w:type="dxa"/>
              <w:bottom w:w="80" w:type="dxa"/>
              <w:right w:w="80" w:type="dxa"/>
            </w:tcMar>
            <w:vAlign w:val="bottom"/>
          </w:tcPr>
          <w:p w:rsidR="000A09C8" w:rsidRDefault="000A09C8"/>
        </w:tc>
        <w:tc>
          <w:tcPr>
            <w:tcW w:w="4870" w:type="dxa"/>
            <w:vMerge w:val="restart"/>
            <w:tcBorders>
              <w:top w:val="nil"/>
              <w:left w:val="nil"/>
              <w:bottom w:val="nil"/>
              <w:right w:val="nil"/>
            </w:tcBorders>
            <w:shd w:val="clear" w:color="auto" w:fill="FFFFFF"/>
            <w:tcMar>
              <w:top w:w="80" w:type="dxa"/>
              <w:left w:w="80" w:type="dxa"/>
              <w:bottom w:w="80" w:type="dxa"/>
              <w:right w:w="80" w:type="dxa"/>
            </w:tcMar>
            <w:vAlign w:val="center"/>
          </w:tcPr>
          <w:p w:rsidR="000A09C8" w:rsidRDefault="000A09C8"/>
        </w:tc>
        <w:tc>
          <w:tcPr>
            <w:tcW w:w="1576" w:type="dxa"/>
            <w:tcBorders>
              <w:top w:val="nil"/>
              <w:left w:val="nil"/>
              <w:bottom w:val="nil"/>
              <w:right w:val="nil"/>
            </w:tcBorders>
            <w:shd w:val="clear" w:color="auto" w:fill="FFFFFF"/>
            <w:tcMar>
              <w:top w:w="80" w:type="dxa"/>
              <w:left w:w="80" w:type="dxa"/>
              <w:bottom w:w="80" w:type="dxa"/>
              <w:right w:w="80" w:type="dxa"/>
            </w:tcMar>
            <w:vAlign w:val="center"/>
          </w:tcPr>
          <w:p w:rsidR="000A09C8" w:rsidRDefault="008B7463">
            <w:pPr>
              <w:pStyle w:val="Body"/>
              <w:jc w:val="center"/>
            </w:pPr>
            <w:r>
              <w:rPr>
                <w:rFonts w:ascii="Calibri" w:eastAsia="Calibri" w:hAnsi="Calibri" w:cs="Calibri"/>
                <w:sz w:val="20"/>
                <w:szCs w:val="20"/>
              </w:rPr>
              <w:t> </w:t>
            </w:r>
          </w:p>
        </w:tc>
      </w:tr>
      <w:tr w:rsidR="000A09C8">
        <w:trPr>
          <w:trHeight w:val="240"/>
        </w:trPr>
        <w:tc>
          <w:tcPr>
            <w:tcW w:w="1862" w:type="dxa"/>
            <w:tcBorders>
              <w:top w:val="nil"/>
              <w:left w:val="nil"/>
              <w:bottom w:val="nil"/>
              <w:right w:val="nil"/>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w:t>
            </w:r>
          </w:p>
        </w:tc>
        <w:tc>
          <w:tcPr>
            <w:tcW w:w="2096" w:type="dxa"/>
            <w:tcBorders>
              <w:top w:val="nil"/>
              <w:left w:val="nil"/>
              <w:bottom w:val="nil"/>
              <w:right w:val="nil"/>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w:t>
            </w:r>
          </w:p>
        </w:tc>
        <w:tc>
          <w:tcPr>
            <w:tcW w:w="4870" w:type="dxa"/>
            <w:vMerge/>
            <w:tcBorders>
              <w:top w:val="nil"/>
              <w:left w:val="nil"/>
              <w:bottom w:val="nil"/>
              <w:right w:val="nil"/>
            </w:tcBorders>
            <w:shd w:val="clear" w:color="auto" w:fill="FFFFFF"/>
          </w:tcPr>
          <w:p w:rsidR="000A09C8" w:rsidRDefault="000A09C8"/>
        </w:tc>
        <w:tc>
          <w:tcPr>
            <w:tcW w:w="1576" w:type="dxa"/>
            <w:tcBorders>
              <w:top w:val="nil"/>
              <w:left w:val="nil"/>
              <w:bottom w:val="nil"/>
              <w:right w:val="nil"/>
            </w:tcBorders>
            <w:shd w:val="clear" w:color="auto" w:fill="FFFFFF"/>
            <w:tcMar>
              <w:top w:w="80" w:type="dxa"/>
              <w:left w:w="80" w:type="dxa"/>
              <w:bottom w:w="80" w:type="dxa"/>
              <w:right w:w="80" w:type="dxa"/>
            </w:tcMar>
            <w:vAlign w:val="center"/>
          </w:tcPr>
          <w:p w:rsidR="000A09C8" w:rsidRDefault="008B7463">
            <w:pPr>
              <w:pStyle w:val="Body"/>
              <w:jc w:val="center"/>
            </w:pPr>
            <w:r>
              <w:rPr>
                <w:rFonts w:ascii="Calibri" w:eastAsia="Calibri" w:hAnsi="Calibri" w:cs="Calibri"/>
                <w:sz w:val="20"/>
                <w:szCs w:val="20"/>
              </w:rPr>
              <w:t> </w:t>
            </w:r>
          </w:p>
        </w:tc>
      </w:tr>
      <w:tr w:rsidR="000A09C8">
        <w:trPr>
          <w:trHeight w:val="240"/>
        </w:trPr>
        <w:tc>
          <w:tcPr>
            <w:tcW w:w="3958" w:type="dxa"/>
            <w:gridSpan w:val="2"/>
            <w:tcBorders>
              <w:top w:val="nil"/>
              <w:left w:val="nil"/>
              <w:bottom w:val="nil"/>
              <w:right w:val="nil"/>
            </w:tcBorders>
            <w:shd w:val="clear" w:color="auto" w:fill="B7DEE8"/>
            <w:tcMar>
              <w:top w:w="80" w:type="dxa"/>
              <w:left w:w="80" w:type="dxa"/>
              <w:bottom w:w="80" w:type="dxa"/>
              <w:right w:w="80" w:type="dxa"/>
            </w:tcMar>
            <w:vAlign w:val="bottom"/>
          </w:tcPr>
          <w:p w:rsidR="000A09C8" w:rsidRDefault="008B7463">
            <w:pPr>
              <w:pStyle w:val="Body"/>
            </w:pPr>
            <w:r>
              <w:rPr>
                <w:rFonts w:ascii="Calibri" w:eastAsia="Calibri" w:hAnsi="Calibri" w:cs="Calibri"/>
                <w:b/>
                <w:bCs/>
                <w:sz w:val="20"/>
                <w:szCs w:val="20"/>
              </w:rPr>
              <w:t>Street:</w:t>
            </w:r>
            <w:r>
              <w:rPr>
                <w:rFonts w:ascii="Calibri" w:eastAsia="Calibri" w:hAnsi="Calibri" w:cs="Calibri"/>
                <w:sz w:val="20"/>
                <w:szCs w:val="20"/>
              </w:rPr>
              <w:t xml:space="preserve"> 500, 750</w:t>
            </w:r>
          </w:p>
        </w:tc>
        <w:tc>
          <w:tcPr>
            <w:tcW w:w="4870"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0A09C8"/>
        </w:tc>
        <w:tc>
          <w:tcPr>
            <w:tcW w:w="1576"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0A09C8"/>
        </w:tc>
      </w:tr>
      <w:tr w:rsidR="000A09C8">
        <w:trPr>
          <w:trHeight w:val="235"/>
        </w:trPr>
        <w:tc>
          <w:tcPr>
            <w:tcW w:w="3958" w:type="dxa"/>
            <w:gridSpan w:val="2"/>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0A09C8" w:rsidRDefault="008B7463">
            <w:pPr>
              <w:pStyle w:val="Body"/>
            </w:pPr>
            <w:r>
              <w:rPr>
                <w:rFonts w:ascii="Arial" w:hAnsi="Arial"/>
                <w:b/>
                <w:bCs/>
                <w:sz w:val="20"/>
                <w:szCs w:val="20"/>
              </w:rPr>
              <w:t>TBR Fitment:</w:t>
            </w:r>
          </w:p>
        </w:tc>
        <w:tc>
          <w:tcPr>
            <w:tcW w:w="4870"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0A09C8" w:rsidRDefault="000A09C8"/>
        </w:tc>
        <w:tc>
          <w:tcPr>
            <w:tcW w:w="1576"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b/>
                <w:bCs/>
                <w:sz w:val="20"/>
                <w:szCs w:val="20"/>
              </w:rPr>
              <w:t>MSRP &amp; MAP</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005-4340499-B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HD Street Comp-S BLACK "Shorty” 2015+</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$399.98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005-3970499-B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HD Street Comp-S BLACK "Long” 2015+</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$399.98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005-5160199-B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HD Street 2-1 Megaphone Black 2015+</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235"/>
        </w:trPr>
        <w:tc>
          <w:tcPr>
            <w:tcW w:w="1862"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0A09C8" w:rsidRDefault="000A09C8"/>
        </w:tc>
        <w:tc>
          <w:tcPr>
            <w:tcW w:w="2096"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0A09C8" w:rsidRDefault="000A09C8"/>
        </w:tc>
        <w:tc>
          <w:tcPr>
            <w:tcW w:w="487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0A09C8" w:rsidRDefault="000A09C8"/>
        </w:tc>
        <w:tc>
          <w:tcPr>
            <w:tcW w:w="1576"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0A09C8" w:rsidRDefault="000A09C8"/>
        </w:tc>
      </w:tr>
      <w:tr w:rsidR="000A09C8">
        <w:trPr>
          <w:trHeight w:val="240"/>
        </w:trPr>
        <w:tc>
          <w:tcPr>
            <w:tcW w:w="1862"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8B7463">
            <w:pPr>
              <w:pStyle w:val="Body"/>
            </w:pPr>
            <w:r>
              <w:rPr>
                <w:rFonts w:ascii="Calibri" w:eastAsia="Calibri" w:hAnsi="Calibri" w:cs="Calibri"/>
                <w:b/>
                <w:bCs/>
                <w:sz w:val="20"/>
                <w:szCs w:val="20"/>
              </w:rPr>
              <w:t>Sportster:</w:t>
            </w:r>
          </w:p>
        </w:tc>
        <w:tc>
          <w:tcPr>
            <w:tcW w:w="2096"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0A09C8"/>
        </w:tc>
        <w:tc>
          <w:tcPr>
            <w:tcW w:w="4870"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0A09C8"/>
        </w:tc>
        <w:tc>
          <w:tcPr>
            <w:tcW w:w="1576"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0A09C8"/>
        </w:tc>
      </w:tr>
      <w:tr w:rsidR="000A09C8">
        <w:trPr>
          <w:trHeight w:val="235"/>
        </w:trPr>
        <w:tc>
          <w:tcPr>
            <w:tcW w:w="3958"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rsidR="000A09C8" w:rsidRDefault="008B7463">
            <w:pPr>
              <w:pStyle w:val="Body"/>
            </w:pPr>
            <w:r>
              <w:rPr>
                <w:rFonts w:ascii="Arial" w:hAnsi="Arial"/>
                <w:b/>
                <w:bCs/>
                <w:sz w:val="20"/>
                <w:szCs w:val="20"/>
              </w:rPr>
              <w:t>TBR Fitment:</w:t>
            </w:r>
          </w:p>
        </w:tc>
        <w:tc>
          <w:tcPr>
            <w:tcW w:w="487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0A09C8" w:rsidRDefault="000A09C8"/>
        </w:tc>
        <w:tc>
          <w:tcPr>
            <w:tcW w:w="1576"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b/>
                <w:bCs/>
                <w:sz w:val="20"/>
                <w:szCs w:val="20"/>
              </w:rPr>
              <w:t>MSRP &amp; MAP</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005-4580199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Sportster 2014-2019 2-1 Stainless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005-4580199-B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Sportster 2014-2019 2-1 Stainless Exhaust Black</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lastRenderedPageBreak/>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005-4110199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Sportster 2004-2013 2-1 Stainless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005-4110199-B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Sportster 2004-2013 2-1 Stainless Exhaust Black</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005-4700199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Sportster 2014+ </w:t>
            </w:r>
            <w:r>
              <w:rPr>
                <w:rFonts w:ascii="Calibri" w:eastAsia="Calibri" w:hAnsi="Calibri" w:cs="Calibri"/>
                <w:b/>
                <w:bCs/>
                <w:sz w:val="20"/>
                <w:szCs w:val="20"/>
              </w:rPr>
              <w:t>Gen 2</w:t>
            </w:r>
            <w:r>
              <w:rPr>
                <w:rFonts w:ascii="Calibri" w:eastAsia="Calibri" w:hAnsi="Calibri" w:cs="Calibri"/>
                <w:sz w:val="20"/>
                <w:szCs w:val="20"/>
              </w:rPr>
              <w:t xml:space="preserve"> 2-1 Stainless</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005-4700199-B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Sportster 2014+ </w:t>
            </w:r>
            <w:r>
              <w:rPr>
                <w:rFonts w:ascii="Calibri" w:eastAsia="Calibri" w:hAnsi="Calibri" w:cs="Calibri"/>
                <w:b/>
                <w:bCs/>
                <w:sz w:val="20"/>
                <w:szCs w:val="20"/>
              </w:rPr>
              <w:t>Gen 2</w:t>
            </w:r>
            <w:r>
              <w:rPr>
                <w:rFonts w:ascii="Calibri" w:eastAsia="Calibri" w:hAnsi="Calibri" w:cs="Calibri"/>
                <w:sz w:val="20"/>
                <w:szCs w:val="20"/>
              </w:rPr>
              <w:t xml:space="preserve"> 2-1 Black</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005-5150199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Sportster 1986-2003 Megaphone 2-1 Stainless</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005-5150199-B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Sportster 1986-2003 Megaphone 2-1 Black</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005-4710499D</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Sportster 2014+ Chrome Dual Slip </w:t>
            </w:r>
            <w:proofErr w:type="spellStart"/>
            <w:r>
              <w:rPr>
                <w:rFonts w:ascii="Calibri" w:eastAsia="Calibri" w:hAnsi="Calibri" w:cs="Calibri"/>
                <w:sz w:val="20"/>
                <w:szCs w:val="20"/>
              </w:rPr>
              <w:t>On’s</w:t>
            </w:r>
            <w:proofErr w:type="spellEnd"/>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$529.98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005-4710199D-B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Sportster 2014+ Black Dual Slip </w:t>
            </w:r>
            <w:proofErr w:type="spellStart"/>
            <w:r>
              <w:rPr>
                <w:rFonts w:ascii="Calibri" w:eastAsia="Calibri" w:hAnsi="Calibri" w:cs="Calibri"/>
                <w:sz w:val="20"/>
                <w:szCs w:val="20"/>
              </w:rPr>
              <w:t>On’s</w:t>
            </w:r>
            <w:proofErr w:type="spellEnd"/>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$529.98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034-377-01-V</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Sportster Comp V-Stack Intake 07-19</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$499.98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034-377-03</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94-17' Sportster Moto Elbow Intake Stainless Finish</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$249.98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034-377-03-B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94-17' Sportster Moto Elbow Intake Black Finish</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$249.98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034-377-03-P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94-17' Sportster Moto Elbow Intake Polished Finish</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$249.98</w:t>
            </w:r>
          </w:p>
        </w:tc>
      </w:tr>
      <w:tr w:rsidR="000A09C8">
        <w:trPr>
          <w:trHeight w:val="235"/>
        </w:trPr>
        <w:tc>
          <w:tcPr>
            <w:tcW w:w="186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0A09C8" w:rsidRDefault="000A09C8"/>
        </w:tc>
        <w:tc>
          <w:tcPr>
            <w:tcW w:w="209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0A09C8" w:rsidRDefault="000A09C8"/>
        </w:tc>
        <w:tc>
          <w:tcPr>
            <w:tcW w:w="487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0A09C8" w:rsidRDefault="000A09C8"/>
        </w:tc>
        <w:tc>
          <w:tcPr>
            <w:tcW w:w="157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0A09C8" w:rsidRDefault="000A09C8"/>
        </w:tc>
      </w:tr>
      <w:tr w:rsidR="000A09C8">
        <w:trPr>
          <w:trHeight w:val="240"/>
        </w:trPr>
        <w:tc>
          <w:tcPr>
            <w:tcW w:w="1862"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8B7463">
            <w:pPr>
              <w:pStyle w:val="Body"/>
            </w:pPr>
            <w:r>
              <w:rPr>
                <w:rFonts w:ascii="Calibri" w:eastAsia="Calibri" w:hAnsi="Calibri" w:cs="Calibri"/>
                <w:b/>
                <w:bCs/>
                <w:sz w:val="20"/>
                <w:szCs w:val="20"/>
              </w:rPr>
              <w:t>Dyna:</w:t>
            </w:r>
          </w:p>
        </w:tc>
        <w:tc>
          <w:tcPr>
            <w:tcW w:w="2096"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0A09C8"/>
        </w:tc>
        <w:tc>
          <w:tcPr>
            <w:tcW w:w="4870"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0A09C8"/>
        </w:tc>
        <w:tc>
          <w:tcPr>
            <w:tcW w:w="1576"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0A09C8"/>
        </w:tc>
      </w:tr>
      <w:tr w:rsidR="000A09C8">
        <w:trPr>
          <w:trHeight w:val="235"/>
        </w:trPr>
        <w:tc>
          <w:tcPr>
            <w:tcW w:w="3958"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rsidR="000A09C8" w:rsidRDefault="008B7463">
            <w:pPr>
              <w:pStyle w:val="Body"/>
            </w:pPr>
            <w:r>
              <w:rPr>
                <w:rFonts w:ascii="Arial" w:hAnsi="Arial"/>
                <w:b/>
                <w:bCs/>
                <w:sz w:val="20"/>
                <w:szCs w:val="20"/>
              </w:rPr>
              <w:t>TBR Fitment:</w:t>
            </w:r>
          </w:p>
        </w:tc>
        <w:tc>
          <w:tcPr>
            <w:tcW w:w="487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0A09C8" w:rsidRDefault="000A09C8"/>
        </w:tc>
        <w:tc>
          <w:tcPr>
            <w:tcW w:w="1576"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b/>
                <w:bCs/>
                <w:sz w:val="20"/>
                <w:szCs w:val="20"/>
              </w:rPr>
              <w:t>MSRP &amp; MAP</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005-3750199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Dyna 2006-2017 2-1 Stainless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005-3750199-B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Dyna 2006-2017 2-1 Stainless Exhaust Black</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$859.98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005-3750199-P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Dyna 2006-2017 2-1 POLISHED Stainless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005-4280199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Dyna 1991-2005 2-1 Stainless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005-4280199-B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Dyna 1991-2005 2-1 Stainless Exhaust Black</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005-4440199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Dyna FXR 2-1 1987-94 Stainless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005-4690199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Dyna </w:t>
            </w:r>
            <w:r>
              <w:rPr>
                <w:rFonts w:ascii="Calibri" w:eastAsia="Calibri" w:hAnsi="Calibri" w:cs="Calibri"/>
                <w:b/>
                <w:bCs/>
                <w:sz w:val="20"/>
                <w:szCs w:val="20"/>
              </w:rPr>
              <w:t>Gen 2</w:t>
            </w:r>
            <w:r>
              <w:rPr>
                <w:rFonts w:ascii="Calibri" w:eastAsia="Calibri" w:hAnsi="Calibri" w:cs="Calibri"/>
                <w:sz w:val="20"/>
                <w:szCs w:val="20"/>
              </w:rPr>
              <w:t xml:space="preserve"> 2006-17 Stainless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005-4690199-B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Dyna </w:t>
            </w:r>
            <w:r>
              <w:rPr>
                <w:rFonts w:ascii="Calibri" w:eastAsia="Calibri" w:hAnsi="Calibri" w:cs="Calibri"/>
                <w:b/>
                <w:bCs/>
                <w:sz w:val="20"/>
                <w:szCs w:val="20"/>
              </w:rPr>
              <w:t>Gen 2</w:t>
            </w:r>
            <w:r>
              <w:rPr>
                <w:rFonts w:ascii="Calibri" w:eastAsia="Calibri" w:hAnsi="Calibri" w:cs="Calibri"/>
                <w:sz w:val="20"/>
                <w:szCs w:val="20"/>
              </w:rPr>
              <w:t xml:space="preserve"> 2006-17 Stainless Exhaust Black</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005-4690199-P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Dyna </w:t>
            </w:r>
            <w:r>
              <w:rPr>
                <w:rFonts w:ascii="Calibri" w:eastAsia="Calibri" w:hAnsi="Calibri" w:cs="Calibri"/>
                <w:b/>
                <w:bCs/>
                <w:sz w:val="20"/>
                <w:szCs w:val="20"/>
              </w:rPr>
              <w:t>Gen 2</w:t>
            </w:r>
            <w:r>
              <w:rPr>
                <w:rFonts w:ascii="Calibri" w:eastAsia="Calibri" w:hAnsi="Calibri" w:cs="Calibri"/>
                <w:sz w:val="20"/>
                <w:szCs w:val="20"/>
              </w:rPr>
              <w:t xml:space="preserve"> 2006-17 Polished Stainless Steel</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005-5130199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Dyna Turnout 2-1 Stainless Exhaust 2006-17</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005-5130199-B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Dyna Turnout 2-1 Stainless Exhaust 2006-17</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005-5130199-P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Dyna Turnout 2-1 Stainless Exhaust 2006-17</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005-4710499D</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Dyna (see fitment chart) Chrome Dual Slip </w:t>
            </w:r>
            <w:proofErr w:type="spellStart"/>
            <w:r>
              <w:rPr>
                <w:rFonts w:ascii="Calibri" w:eastAsia="Calibri" w:hAnsi="Calibri" w:cs="Calibri"/>
                <w:sz w:val="20"/>
                <w:szCs w:val="20"/>
              </w:rPr>
              <w:t>On’s</w:t>
            </w:r>
            <w:proofErr w:type="spellEnd"/>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$529.98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005-4710499D-B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Dyna (see fitment chart) Black Dual Slip </w:t>
            </w:r>
            <w:proofErr w:type="spellStart"/>
            <w:r>
              <w:rPr>
                <w:rFonts w:ascii="Calibri" w:eastAsia="Calibri" w:hAnsi="Calibri" w:cs="Calibri"/>
                <w:sz w:val="20"/>
                <w:szCs w:val="20"/>
              </w:rPr>
              <w:t>On's</w:t>
            </w:r>
            <w:proofErr w:type="spellEnd"/>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$529.98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034-376-01-V</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Dyna / </w:t>
            </w:r>
            <w:proofErr w:type="gramStart"/>
            <w:r>
              <w:rPr>
                <w:rFonts w:ascii="Calibri" w:eastAsia="Calibri" w:hAnsi="Calibri" w:cs="Calibri"/>
                <w:sz w:val="20"/>
                <w:szCs w:val="20"/>
              </w:rPr>
              <w:t>Softail  Comp</w:t>
            </w:r>
            <w:proofErr w:type="gramEnd"/>
            <w:r>
              <w:rPr>
                <w:rFonts w:ascii="Calibri" w:eastAsia="Calibri" w:hAnsi="Calibri" w:cs="Calibri"/>
                <w:sz w:val="20"/>
                <w:szCs w:val="20"/>
              </w:rPr>
              <w:t xml:space="preserve"> V Stack Intake 06-17</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$499.98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lastRenderedPageBreak/>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034-387-01-V</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b/>
                <w:bCs/>
                <w:sz w:val="20"/>
                <w:szCs w:val="20"/>
              </w:rPr>
              <w:t>Lowrider S</w:t>
            </w:r>
            <w:r>
              <w:rPr>
                <w:rFonts w:ascii="Calibri" w:eastAsia="Calibri" w:hAnsi="Calibri" w:cs="Calibri"/>
                <w:sz w:val="20"/>
                <w:szCs w:val="20"/>
              </w:rPr>
              <w:t xml:space="preserve"> Comp V Stack Intake</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$499.98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034-376-03</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99-17' Dyna Moto Elbow Intake Stainless Finish</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$249.98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034-376-03-B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99-17' Dyna Moto Elbow Intake Black Finish</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$249.98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034-376-03-P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99-17' Dyna Moto Elbow Intake Polished Finish</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$249.98</w:t>
            </w:r>
          </w:p>
        </w:tc>
      </w:tr>
      <w:tr w:rsidR="000A09C8">
        <w:trPr>
          <w:trHeight w:val="235"/>
        </w:trPr>
        <w:tc>
          <w:tcPr>
            <w:tcW w:w="1862"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0A09C8" w:rsidRDefault="000A09C8"/>
        </w:tc>
        <w:tc>
          <w:tcPr>
            <w:tcW w:w="2096"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0A09C8" w:rsidRDefault="000A09C8"/>
        </w:tc>
        <w:tc>
          <w:tcPr>
            <w:tcW w:w="487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0A09C8" w:rsidRDefault="000A09C8"/>
        </w:tc>
        <w:tc>
          <w:tcPr>
            <w:tcW w:w="1576"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0A09C8" w:rsidRDefault="000A09C8"/>
        </w:tc>
      </w:tr>
      <w:tr w:rsidR="000A09C8">
        <w:trPr>
          <w:trHeight w:val="240"/>
        </w:trPr>
        <w:tc>
          <w:tcPr>
            <w:tcW w:w="1862"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8B7463">
            <w:pPr>
              <w:pStyle w:val="Body"/>
            </w:pPr>
            <w:r>
              <w:rPr>
                <w:rFonts w:ascii="Calibri" w:eastAsia="Calibri" w:hAnsi="Calibri" w:cs="Calibri"/>
                <w:b/>
                <w:bCs/>
                <w:sz w:val="20"/>
                <w:szCs w:val="20"/>
              </w:rPr>
              <w:t>Softail:</w:t>
            </w:r>
          </w:p>
        </w:tc>
        <w:tc>
          <w:tcPr>
            <w:tcW w:w="2096"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0A09C8"/>
        </w:tc>
        <w:tc>
          <w:tcPr>
            <w:tcW w:w="4870"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0A09C8"/>
        </w:tc>
        <w:tc>
          <w:tcPr>
            <w:tcW w:w="1576" w:type="dxa"/>
            <w:tcBorders>
              <w:top w:val="nil"/>
              <w:left w:val="nil"/>
              <w:bottom w:val="nil"/>
              <w:right w:val="nil"/>
            </w:tcBorders>
            <w:shd w:val="clear" w:color="auto" w:fill="B7DEE8"/>
            <w:tcMar>
              <w:top w:w="80" w:type="dxa"/>
              <w:left w:w="80" w:type="dxa"/>
              <w:bottom w:w="80" w:type="dxa"/>
              <w:right w:w="80" w:type="dxa"/>
            </w:tcMar>
            <w:vAlign w:val="bottom"/>
          </w:tcPr>
          <w:p w:rsidR="000A09C8" w:rsidRDefault="000A09C8"/>
        </w:tc>
      </w:tr>
      <w:tr w:rsidR="000A09C8">
        <w:trPr>
          <w:trHeight w:val="235"/>
        </w:trPr>
        <w:tc>
          <w:tcPr>
            <w:tcW w:w="3958"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rsidR="000A09C8" w:rsidRDefault="008B7463">
            <w:pPr>
              <w:pStyle w:val="Body"/>
            </w:pPr>
            <w:r>
              <w:rPr>
                <w:rFonts w:ascii="Arial" w:hAnsi="Arial"/>
                <w:b/>
                <w:bCs/>
                <w:sz w:val="20"/>
                <w:szCs w:val="20"/>
              </w:rPr>
              <w:t>TBR Fitment:</w:t>
            </w:r>
          </w:p>
        </w:tc>
        <w:tc>
          <w:tcPr>
            <w:tcW w:w="487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0A09C8" w:rsidRDefault="000A09C8"/>
        </w:tc>
        <w:tc>
          <w:tcPr>
            <w:tcW w:w="1576"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b/>
                <w:bCs/>
                <w:sz w:val="20"/>
                <w:szCs w:val="20"/>
              </w:rPr>
              <w:t>MSRP &amp; MAP</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005-4140499D</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2004-17 Deluxe/ Slim Dual Chrome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005-4140499D-B</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2004-17 Deluxe/ Slim Dual Black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005-4360499D</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2004-17 Deluxe/ Slim Dual Chrome Shorty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005-4360499D-B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2004-17 Deluxe/ Slim Dual Black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005-3760499D</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2013-2017 Breakout Dual Chrome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005-3760499D-B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2013-2017 Breakout Dual Black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005-4960199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2018+ 2-1 Stainless Exhaust Carbon</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005-4960199-B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2018+ 2-1 Black Exhaust Carbon</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005-4960199-P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2018+ 2-1 Polished Exhaust Carbon</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005-4970199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2018+ 2-1 Stainless Gen 2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005-4970199-B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2018+ 2-1 Black Gen 2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$859.98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005-4970199-P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2018+ 2-1 Polished Gen 2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005-4980199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w:t>
            </w:r>
            <w:proofErr w:type="spellStart"/>
            <w:r>
              <w:rPr>
                <w:rFonts w:ascii="Calibri" w:eastAsia="Calibri" w:hAnsi="Calibri" w:cs="Calibri"/>
                <w:sz w:val="20"/>
                <w:szCs w:val="20"/>
              </w:rPr>
              <w:t>Fatboy</w:t>
            </w:r>
            <w:proofErr w:type="spellEnd"/>
            <w:r>
              <w:rPr>
                <w:rFonts w:ascii="Calibri" w:eastAsia="Calibri" w:hAnsi="Calibri" w:cs="Calibri"/>
                <w:sz w:val="20"/>
                <w:szCs w:val="20"/>
              </w:rPr>
              <w:t>/Breakout 2018+ 2-1 Stainless Exhaust Carbon</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005-4980199-B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w:t>
            </w:r>
            <w:proofErr w:type="spellStart"/>
            <w:r>
              <w:rPr>
                <w:rFonts w:ascii="Calibri" w:eastAsia="Calibri" w:hAnsi="Calibri" w:cs="Calibri"/>
                <w:sz w:val="20"/>
                <w:szCs w:val="20"/>
              </w:rPr>
              <w:t>Fatboy</w:t>
            </w:r>
            <w:proofErr w:type="spellEnd"/>
            <w:r>
              <w:rPr>
                <w:rFonts w:ascii="Calibri" w:eastAsia="Calibri" w:hAnsi="Calibri" w:cs="Calibri"/>
                <w:sz w:val="20"/>
                <w:szCs w:val="20"/>
              </w:rPr>
              <w:t>/Breakout 2018+ 2-1 Black Exhaust Carbon</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$859.98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005-4980199-P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w:t>
            </w:r>
            <w:proofErr w:type="spellStart"/>
            <w:r>
              <w:rPr>
                <w:rFonts w:ascii="Calibri" w:eastAsia="Calibri" w:hAnsi="Calibri" w:cs="Calibri"/>
                <w:sz w:val="20"/>
                <w:szCs w:val="20"/>
              </w:rPr>
              <w:t>Fatboy</w:t>
            </w:r>
            <w:proofErr w:type="spellEnd"/>
            <w:r>
              <w:rPr>
                <w:rFonts w:ascii="Calibri" w:eastAsia="Calibri" w:hAnsi="Calibri" w:cs="Calibri"/>
                <w:sz w:val="20"/>
                <w:szCs w:val="20"/>
              </w:rPr>
              <w:t>/Breakout 2018+ 2-1 Polished Exhaust Carbon</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005-4990199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w:t>
            </w:r>
            <w:proofErr w:type="spellStart"/>
            <w:r>
              <w:rPr>
                <w:rFonts w:ascii="Calibri" w:eastAsia="Calibri" w:hAnsi="Calibri" w:cs="Calibri"/>
                <w:sz w:val="20"/>
                <w:szCs w:val="20"/>
              </w:rPr>
              <w:t>Fatboy</w:t>
            </w:r>
            <w:proofErr w:type="spellEnd"/>
            <w:r>
              <w:rPr>
                <w:rFonts w:ascii="Calibri" w:eastAsia="Calibri" w:hAnsi="Calibri" w:cs="Calibri"/>
                <w:sz w:val="20"/>
                <w:szCs w:val="20"/>
              </w:rPr>
              <w:t>/Breakout 2018+ 2-1 Stainless Gen 2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005-4990199-B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w:t>
            </w:r>
            <w:proofErr w:type="spellStart"/>
            <w:r>
              <w:rPr>
                <w:rFonts w:ascii="Calibri" w:eastAsia="Calibri" w:hAnsi="Calibri" w:cs="Calibri"/>
                <w:sz w:val="20"/>
                <w:szCs w:val="20"/>
              </w:rPr>
              <w:t>Fatboy</w:t>
            </w:r>
            <w:proofErr w:type="spellEnd"/>
            <w:r>
              <w:rPr>
                <w:rFonts w:ascii="Calibri" w:eastAsia="Calibri" w:hAnsi="Calibri" w:cs="Calibri"/>
                <w:sz w:val="20"/>
                <w:szCs w:val="20"/>
              </w:rPr>
              <w:t>/Breakout 2018+ 2-1 Black Gen 2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$859.98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005-4990199-P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w:t>
            </w:r>
            <w:proofErr w:type="spellStart"/>
            <w:r>
              <w:rPr>
                <w:rFonts w:ascii="Calibri" w:eastAsia="Calibri" w:hAnsi="Calibri" w:cs="Calibri"/>
                <w:sz w:val="20"/>
                <w:szCs w:val="20"/>
              </w:rPr>
              <w:t>Fatboy</w:t>
            </w:r>
            <w:proofErr w:type="spellEnd"/>
            <w:r>
              <w:rPr>
                <w:rFonts w:ascii="Calibri" w:eastAsia="Calibri" w:hAnsi="Calibri" w:cs="Calibri"/>
                <w:sz w:val="20"/>
                <w:szCs w:val="20"/>
              </w:rPr>
              <w:t>/Breakout 2018+ 2-1 Polished Gen 2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005-4960199-SG</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2018+ 2-1 Stainless Exhaust Carbon </w:t>
            </w:r>
            <w:proofErr w:type="spellStart"/>
            <w:r>
              <w:rPr>
                <w:rFonts w:ascii="Calibri" w:eastAsia="Calibri" w:hAnsi="Calibri" w:cs="Calibri"/>
                <w:sz w:val="20"/>
                <w:szCs w:val="20"/>
              </w:rPr>
              <w:t>SportGlide</w:t>
            </w:r>
            <w:proofErr w:type="spellEnd"/>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005-4960199-BSG</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2018+ 2-1 Black Exhaust Carbon </w:t>
            </w:r>
            <w:proofErr w:type="spellStart"/>
            <w:r>
              <w:rPr>
                <w:rFonts w:ascii="Calibri" w:eastAsia="Calibri" w:hAnsi="Calibri" w:cs="Calibri"/>
                <w:sz w:val="20"/>
                <w:szCs w:val="20"/>
              </w:rPr>
              <w:t>SportGlide</w:t>
            </w:r>
            <w:proofErr w:type="spellEnd"/>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$859.98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lastRenderedPageBreak/>
              <w:t>2-1</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005-4960199-PSG</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2018+ 2-1 Polished Exhaust Carbon </w:t>
            </w:r>
            <w:proofErr w:type="spellStart"/>
            <w:r>
              <w:rPr>
                <w:rFonts w:ascii="Calibri" w:eastAsia="Calibri" w:hAnsi="Calibri" w:cs="Calibri"/>
                <w:sz w:val="20"/>
                <w:szCs w:val="20"/>
              </w:rPr>
              <w:t>SportGlide</w:t>
            </w:r>
            <w:proofErr w:type="spellEnd"/>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005-4970199-SG</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2018+ 2-1 Stainless Gen 2 Exhaust </w:t>
            </w:r>
            <w:proofErr w:type="spellStart"/>
            <w:r>
              <w:rPr>
                <w:rFonts w:ascii="Calibri" w:eastAsia="Calibri" w:hAnsi="Calibri" w:cs="Calibri"/>
                <w:sz w:val="20"/>
                <w:szCs w:val="20"/>
              </w:rPr>
              <w:t>SportGlide</w:t>
            </w:r>
            <w:proofErr w:type="spellEnd"/>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$759.98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005-4970199-BSG</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2018+ 2-1 Black Gen 2 Exhaust </w:t>
            </w:r>
            <w:proofErr w:type="spellStart"/>
            <w:r>
              <w:rPr>
                <w:rFonts w:ascii="Calibri" w:eastAsia="Calibri" w:hAnsi="Calibri" w:cs="Calibri"/>
                <w:sz w:val="20"/>
                <w:szCs w:val="20"/>
              </w:rPr>
              <w:t>SportGlide</w:t>
            </w:r>
            <w:proofErr w:type="spellEnd"/>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$859.98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005-4970199-PSG</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2018+ 2-1 Polished Gen 2 Exhaust </w:t>
            </w:r>
            <w:proofErr w:type="spellStart"/>
            <w:r>
              <w:rPr>
                <w:rFonts w:ascii="Calibri" w:eastAsia="Calibri" w:hAnsi="Calibri" w:cs="Calibri"/>
                <w:sz w:val="20"/>
                <w:szCs w:val="20"/>
              </w:rPr>
              <w:t>SportGlide</w:t>
            </w:r>
            <w:proofErr w:type="spellEnd"/>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005-5120199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2018+ Turnout 2-1 Stainless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005-5120199-B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2018+ Turnout 2-1 Black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005-5120199-P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Softail 2018+ Turnout 2-1 Polished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005-5120199-SG</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2018+ Turnout 2-1 Stainless Exhaust </w:t>
            </w:r>
            <w:proofErr w:type="spellStart"/>
            <w:r>
              <w:rPr>
                <w:rFonts w:ascii="Calibri" w:eastAsia="Calibri" w:hAnsi="Calibri" w:cs="Calibri"/>
                <w:sz w:val="20"/>
                <w:szCs w:val="20"/>
              </w:rPr>
              <w:t>SportGlide</w:t>
            </w:r>
            <w:proofErr w:type="spellEnd"/>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005-5120199-BSG</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2018+ Turnout 2-1 Black Exhaust </w:t>
            </w:r>
            <w:proofErr w:type="spellStart"/>
            <w:r>
              <w:rPr>
                <w:rFonts w:ascii="Calibri" w:eastAsia="Calibri" w:hAnsi="Calibri" w:cs="Calibri"/>
                <w:sz w:val="20"/>
                <w:szCs w:val="20"/>
              </w:rPr>
              <w:t>SportGlide</w:t>
            </w:r>
            <w:proofErr w:type="spellEnd"/>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005-5120199-PSG</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2018+ Turnout 2-1 Polished Exhaust </w:t>
            </w:r>
            <w:proofErr w:type="spellStart"/>
            <w:r>
              <w:rPr>
                <w:rFonts w:ascii="Calibri" w:eastAsia="Calibri" w:hAnsi="Calibri" w:cs="Calibri"/>
                <w:sz w:val="20"/>
                <w:szCs w:val="20"/>
              </w:rPr>
              <w:t>SportGlide</w:t>
            </w:r>
            <w:proofErr w:type="spellEnd"/>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005-5140199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w:t>
            </w:r>
            <w:proofErr w:type="spellStart"/>
            <w:r>
              <w:rPr>
                <w:rFonts w:ascii="Calibri" w:eastAsia="Calibri" w:hAnsi="Calibri" w:cs="Calibri"/>
                <w:sz w:val="20"/>
                <w:szCs w:val="20"/>
              </w:rPr>
              <w:t>Fatboy</w:t>
            </w:r>
            <w:proofErr w:type="spellEnd"/>
            <w:r>
              <w:rPr>
                <w:rFonts w:ascii="Calibri" w:eastAsia="Calibri" w:hAnsi="Calibri" w:cs="Calibri"/>
                <w:sz w:val="20"/>
                <w:szCs w:val="20"/>
              </w:rPr>
              <w:t>/Breakout 2018+ 2-1 Stainless Turnout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005-5140199-B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w:t>
            </w:r>
            <w:proofErr w:type="spellStart"/>
            <w:r>
              <w:rPr>
                <w:rFonts w:ascii="Calibri" w:eastAsia="Calibri" w:hAnsi="Calibri" w:cs="Calibri"/>
                <w:sz w:val="20"/>
                <w:szCs w:val="20"/>
              </w:rPr>
              <w:t>Fatboy</w:t>
            </w:r>
            <w:proofErr w:type="spellEnd"/>
            <w:r>
              <w:rPr>
                <w:rFonts w:ascii="Calibri" w:eastAsia="Calibri" w:hAnsi="Calibri" w:cs="Calibri"/>
                <w:sz w:val="20"/>
                <w:szCs w:val="20"/>
              </w:rPr>
              <w:t>/Breakout 2018+ 2-1 Black Turnout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005-5140199-P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w:t>
            </w:r>
            <w:proofErr w:type="spellStart"/>
            <w:r>
              <w:rPr>
                <w:rFonts w:ascii="Calibri" w:eastAsia="Calibri" w:hAnsi="Calibri" w:cs="Calibri"/>
                <w:sz w:val="20"/>
                <w:szCs w:val="20"/>
              </w:rPr>
              <w:t>Fatboy</w:t>
            </w:r>
            <w:proofErr w:type="spellEnd"/>
            <w:r>
              <w:rPr>
                <w:rFonts w:ascii="Calibri" w:eastAsia="Calibri" w:hAnsi="Calibri" w:cs="Calibri"/>
                <w:sz w:val="20"/>
                <w:szCs w:val="20"/>
              </w:rPr>
              <w:t>/Breakout 2018+ 2-1 Polished Turnout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005-5040499D</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2018 Softail </w:t>
            </w:r>
            <w:proofErr w:type="spellStart"/>
            <w:r>
              <w:rPr>
                <w:rFonts w:ascii="Calibri" w:eastAsia="Calibri" w:hAnsi="Calibri" w:cs="Calibri"/>
                <w:sz w:val="20"/>
                <w:szCs w:val="20"/>
              </w:rPr>
              <w:t>Fatbob</w:t>
            </w:r>
            <w:proofErr w:type="spellEnd"/>
            <w:r>
              <w:rPr>
                <w:rFonts w:ascii="Calibri" w:eastAsia="Calibri" w:hAnsi="Calibri" w:cs="Calibri"/>
                <w:sz w:val="20"/>
                <w:szCs w:val="20"/>
              </w:rPr>
              <w:t xml:space="preserve"> Stainless Slip </w:t>
            </w:r>
            <w:proofErr w:type="spellStart"/>
            <w:r>
              <w:rPr>
                <w:rFonts w:ascii="Calibri" w:eastAsia="Calibri" w:hAnsi="Calibri" w:cs="Calibri"/>
                <w:sz w:val="20"/>
                <w:szCs w:val="20"/>
              </w:rPr>
              <w:t>On's</w:t>
            </w:r>
            <w:proofErr w:type="spellEnd"/>
            <w:r>
              <w:rPr>
                <w:rFonts w:ascii="Calibri" w:eastAsia="Calibri" w:hAnsi="Calibri" w:cs="Calibri"/>
                <w:sz w:val="20"/>
                <w:szCs w:val="20"/>
              </w:rPr>
              <w:t xml:space="preserve"> (50 state*)</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$549.98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005-5040499D-B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2018 Softail </w:t>
            </w:r>
            <w:proofErr w:type="spellStart"/>
            <w:r>
              <w:rPr>
                <w:rFonts w:ascii="Calibri" w:eastAsia="Calibri" w:hAnsi="Calibri" w:cs="Calibri"/>
                <w:sz w:val="20"/>
                <w:szCs w:val="20"/>
              </w:rPr>
              <w:t>Fatbob</w:t>
            </w:r>
            <w:proofErr w:type="spellEnd"/>
            <w:r>
              <w:rPr>
                <w:rFonts w:ascii="Calibri" w:eastAsia="Calibri" w:hAnsi="Calibri" w:cs="Calibri"/>
                <w:sz w:val="20"/>
                <w:szCs w:val="20"/>
              </w:rPr>
              <w:t xml:space="preserve"> Black Slip </w:t>
            </w:r>
            <w:proofErr w:type="spellStart"/>
            <w:r>
              <w:rPr>
                <w:rFonts w:ascii="Calibri" w:eastAsia="Calibri" w:hAnsi="Calibri" w:cs="Calibri"/>
                <w:sz w:val="20"/>
                <w:szCs w:val="20"/>
              </w:rPr>
              <w:t>On's</w:t>
            </w:r>
            <w:proofErr w:type="spellEnd"/>
            <w:r>
              <w:rPr>
                <w:rFonts w:ascii="Calibri" w:eastAsia="Calibri" w:hAnsi="Calibri" w:cs="Calibri"/>
                <w:sz w:val="20"/>
                <w:szCs w:val="20"/>
              </w:rPr>
              <w:t xml:space="preserve"> (50 state*)</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$549.98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V-Stack</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034-376-01-V</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Softail/ </w:t>
            </w:r>
            <w:proofErr w:type="gramStart"/>
            <w:r>
              <w:rPr>
                <w:rFonts w:ascii="Calibri" w:eastAsia="Calibri" w:hAnsi="Calibri" w:cs="Calibri"/>
                <w:sz w:val="20"/>
                <w:szCs w:val="20"/>
              </w:rPr>
              <w:t>Dyna  Comp</w:t>
            </w:r>
            <w:proofErr w:type="gramEnd"/>
            <w:r>
              <w:rPr>
                <w:rFonts w:ascii="Calibri" w:eastAsia="Calibri" w:hAnsi="Calibri" w:cs="Calibri"/>
                <w:sz w:val="20"/>
                <w:szCs w:val="20"/>
              </w:rPr>
              <w:t xml:space="preserve"> V Stack Intake 06-16</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$499.98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V-Stack</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034-387-01-V</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Slim S &amp; Pro Street Breakout V Stack Intake 2015-17</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$499.98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V-Stack</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034-464-01-V</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2018 Softail V-Stack Intake</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$499.98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034-464-03</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2018 Softail Moto Elbow Intake Stainless Finish</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$249.98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034-464-03-B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2018 Softail Moto Elbow Intake Black Finish</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$249.98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034-464-03-P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2018 Softail Moto Elbow Intake Polished Finish</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$249.98</w:t>
            </w:r>
          </w:p>
        </w:tc>
      </w:tr>
      <w:tr w:rsidR="000A09C8">
        <w:trPr>
          <w:trHeight w:val="235"/>
        </w:trPr>
        <w:tc>
          <w:tcPr>
            <w:tcW w:w="1862"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0A09C8" w:rsidRDefault="000A09C8"/>
        </w:tc>
        <w:tc>
          <w:tcPr>
            <w:tcW w:w="209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0A09C8" w:rsidRDefault="000A09C8"/>
        </w:tc>
        <w:tc>
          <w:tcPr>
            <w:tcW w:w="4870" w:type="dxa"/>
            <w:tcBorders>
              <w:top w:val="single" w:sz="4" w:space="0" w:color="000000"/>
              <w:left w:val="nil"/>
              <w:bottom w:val="nil"/>
              <w:right w:val="nil"/>
            </w:tcBorders>
            <w:shd w:val="clear" w:color="auto" w:fill="FFFFFF"/>
            <w:tcMar>
              <w:top w:w="80" w:type="dxa"/>
              <w:left w:w="80" w:type="dxa"/>
              <w:bottom w:w="80" w:type="dxa"/>
              <w:right w:w="80" w:type="dxa"/>
            </w:tcMar>
            <w:vAlign w:val="bottom"/>
          </w:tcPr>
          <w:p w:rsidR="000A09C8" w:rsidRDefault="000A09C8"/>
        </w:tc>
        <w:tc>
          <w:tcPr>
            <w:tcW w:w="157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0A09C8" w:rsidRDefault="000A09C8"/>
        </w:tc>
      </w:tr>
      <w:tr w:rsidR="000A09C8">
        <w:trPr>
          <w:trHeight w:val="240"/>
        </w:trPr>
        <w:tc>
          <w:tcPr>
            <w:tcW w:w="10404" w:type="dxa"/>
            <w:gridSpan w:val="4"/>
            <w:tcBorders>
              <w:top w:val="nil"/>
              <w:left w:val="nil"/>
              <w:bottom w:val="nil"/>
              <w:right w:val="nil"/>
            </w:tcBorders>
            <w:shd w:val="clear" w:color="auto" w:fill="B7DEE8"/>
            <w:tcMar>
              <w:top w:w="80" w:type="dxa"/>
              <w:left w:w="80" w:type="dxa"/>
              <w:bottom w:w="80" w:type="dxa"/>
              <w:right w:w="80" w:type="dxa"/>
            </w:tcMar>
          </w:tcPr>
          <w:p w:rsidR="000A09C8" w:rsidRDefault="008B7463">
            <w:pPr>
              <w:pStyle w:val="Body"/>
            </w:pPr>
            <w:r>
              <w:rPr>
                <w:rFonts w:ascii="Calibri" w:eastAsia="Calibri" w:hAnsi="Calibri" w:cs="Calibri"/>
                <w:b/>
                <w:bCs/>
                <w:sz w:val="20"/>
                <w:szCs w:val="20"/>
              </w:rPr>
              <w:t>Touring:</w:t>
            </w:r>
          </w:p>
        </w:tc>
      </w:tr>
      <w:tr w:rsidR="000A09C8">
        <w:trPr>
          <w:trHeight w:val="235"/>
        </w:trPr>
        <w:tc>
          <w:tcPr>
            <w:tcW w:w="3958"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rsidR="000A09C8" w:rsidRDefault="008B7463">
            <w:pPr>
              <w:pStyle w:val="Body"/>
            </w:pPr>
            <w:r>
              <w:rPr>
                <w:rFonts w:ascii="Arial" w:hAnsi="Arial"/>
                <w:b/>
                <w:bCs/>
                <w:sz w:val="20"/>
                <w:szCs w:val="20"/>
              </w:rPr>
              <w:t>TBR Fitment:</w:t>
            </w:r>
          </w:p>
        </w:tc>
        <w:tc>
          <w:tcPr>
            <w:tcW w:w="487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0A09C8" w:rsidRDefault="000A09C8"/>
        </w:tc>
        <w:tc>
          <w:tcPr>
            <w:tcW w:w="1576" w:type="dxa"/>
            <w:tcBorders>
              <w:top w:val="nil"/>
              <w:left w:val="nil"/>
              <w:bottom w:val="single" w:sz="4" w:space="0" w:color="000000"/>
              <w:right w:val="nil"/>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b/>
                <w:bCs/>
                <w:sz w:val="20"/>
                <w:szCs w:val="20"/>
              </w:rPr>
              <w:t>MSRP &amp; MAP</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005-4550499D</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Dual Chrome w/ Carbon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005-4550499D-B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Dual Black w/ Carbon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lastRenderedPageBreak/>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005-4560499D</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Chrome w/ Blk Alum End cap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005-4560499D-B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 xml:space="preserve">Touring 2017+ Black w/ Balk Alum End </w:t>
            </w:r>
            <w:proofErr w:type="gramStart"/>
            <w:r>
              <w:rPr>
                <w:rFonts w:ascii="Calibri" w:eastAsia="Calibri" w:hAnsi="Calibri" w:cs="Calibri"/>
                <w:sz w:val="20"/>
                <w:szCs w:val="20"/>
              </w:rPr>
              <w:t>cap</w:t>
            </w:r>
            <w:proofErr w:type="gramEnd"/>
            <w:r>
              <w:rPr>
                <w:rFonts w:ascii="Calibri" w:eastAsia="Calibri" w:hAnsi="Calibri" w:cs="Calibri"/>
                <w:sz w:val="20"/>
                <w:szCs w:val="20"/>
              </w:rPr>
              <w:t xml:space="preserve">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005-4560499D-P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Chrome w/ Polished End cap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005-456D-BC</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Black Chrome w/ Aluminum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$749.98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005-4560499D-S</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Chrome w/ Blk Slash Cut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005-4560499D-BS</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Black w/ Blk Slash Cut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005-4560499D-PS</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Chrome w/ Polished Slash Cut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005-456D-BCS</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Black Chrome w/ Slash Cut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$749.98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005-3870499D</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1995-2016 Dual Chrome w/ Carbon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005-3870499D-B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1995-2016 Dual Black w/ Carbon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005-4380499D</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1995-16 Chrome w/ Blk Alum End cap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005-4380499D-B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1995-16 Black w/ Blk Alum End cap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005-4380499D-P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1995-16 Chrome w/ Polished End cap S/O</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005-4380499D-S</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1995-16 Chrome w/ Blk Slash Cut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005-4380499D-BS</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1995-16 Black w/ Blk Slash Cut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Slip On</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005-4380499D-PS</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1995-16 Chrome w/ Polished Slash Cut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$699.98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005-4640199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2017+ 2-1 Chrome w/ Blk Alum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005-4640199-B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2017+ 2-1 Black w/ Black Alum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$1,049.98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005-4640199-P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2017+ 2-1 Chrome w/ Polished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005-4640199-S</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2017+ 2-1 Chrome w/ Blk Slash Cut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005-4640199-BS</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2017+ 2-1 Black w/ Blk Slash Cut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$1,049.98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005-4640199-PS</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2017+ 2-1 Chrome w/ Polished Slash Cut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lastRenderedPageBreak/>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005-4680199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Full 2-1 Chrome w/ Carbon Fib.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005-4680199-B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Full 2-1 Black w/ Carbon Fib. End cap</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$1,049.98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005-4870199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Shorty 2-1 Stainless w/ Turnout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005-4870199-B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Shorty 2-1 Black w/ Turnout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005-4870199-P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2017+ Shorty 2-1 Polished w/ Turnout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005-4950199</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2007-16 Shorty 2-1 Stainless w/ Turnout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$799.98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005-4950199-B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2007-16 Shorty 2-1 Black w/ Turnout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$899.98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005-4950199-P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2007-16 Shorty 2-1 Polished w/ Turnout Exhaust</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$999.98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Header</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005-38701H</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10-16' Stainless Headers (Stock Shields)</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$479.98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V-Stack</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034-387-01-V</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Touring Comp V Stack Intake 08-16</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$499.98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V-Stack</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034-464-01-V</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2017+ Touring V-Stack Intake</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$499.98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034-464-03</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2017+ Touring Moto Elbow Intake Stainless Finish</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$249.98</w:t>
            </w:r>
          </w:p>
        </w:tc>
      </w:tr>
      <w:tr w:rsidR="000A09C8">
        <w:trPr>
          <w:trHeight w:val="23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034-464-03-B</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2017+ Touring Moto Elbow Intake Black Finish</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$249.98</w:t>
            </w:r>
          </w:p>
        </w:tc>
      </w:tr>
      <w:tr w:rsidR="000A09C8">
        <w:trPr>
          <w:trHeight w:val="450"/>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Intake</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034-464-03-P</w:t>
            </w:r>
          </w:p>
        </w:tc>
        <w:tc>
          <w:tcPr>
            <w:tcW w:w="4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2017+ Touring Moto Elbow Intake Polished Finish</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A09C8" w:rsidRDefault="008B7463">
            <w:pPr>
              <w:pStyle w:val="Body"/>
            </w:pPr>
            <w:r>
              <w:rPr>
                <w:rFonts w:ascii="Calibri" w:eastAsia="Calibri" w:hAnsi="Calibri" w:cs="Calibri"/>
                <w:sz w:val="20"/>
                <w:szCs w:val="20"/>
              </w:rPr>
              <w:t>$249.98</w:t>
            </w:r>
          </w:p>
        </w:tc>
      </w:tr>
    </w:tbl>
    <w:p w:rsidR="000A09C8" w:rsidRDefault="000A09C8">
      <w:pPr>
        <w:pStyle w:val="Default"/>
        <w:ind w:left="108" w:hanging="108"/>
        <w:rPr>
          <w:sz w:val="22"/>
          <w:szCs w:val="22"/>
        </w:rPr>
      </w:pPr>
    </w:p>
    <w:p w:rsidR="000A09C8" w:rsidRDefault="000A09C8">
      <w:pPr>
        <w:pStyle w:val="Default"/>
        <w:rPr>
          <w:sz w:val="22"/>
          <w:szCs w:val="22"/>
        </w:rPr>
      </w:pPr>
    </w:p>
    <w:p w:rsidR="000A09C8" w:rsidRDefault="000A09C8">
      <w:pPr>
        <w:pStyle w:val="Body"/>
        <w:ind w:firstLine="720"/>
        <w:rPr>
          <w:rFonts w:ascii="Times" w:eastAsia="Times" w:hAnsi="Times" w:cs="Times"/>
        </w:rPr>
      </w:pPr>
    </w:p>
    <w:p w:rsidR="000A09C8" w:rsidRDefault="000A09C8">
      <w:pPr>
        <w:pStyle w:val="Body"/>
        <w:ind w:firstLine="720"/>
        <w:rPr>
          <w:rFonts w:ascii="Times" w:eastAsia="Times" w:hAnsi="Times" w:cs="Times"/>
        </w:rPr>
      </w:pPr>
    </w:p>
    <w:p w:rsidR="000A09C8" w:rsidRDefault="000A09C8">
      <w:pPr>
        <w:pStyle w:val="Body"/>
      </w:pPr>
    </w:p>
    <w:sectPr w:rsidR="000A09C8">
      <w:headerReference w:type="default" r:id="rId9"/>
      <w:footerReference w:type="default" r:id="rId10"/>
      <w:pgSz w:w="12240" w:h="15840"/>
      <w:pgMar w:top="0" w:right="1800" w:bottom="9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5B2" w:rsidRDefault="008B7463">
      <w:r>
        <w:separator/>
      </w:r>
    </w:p>
  </w:endnote>
  <w:endnote w:type="continuationSeparator" w:id="0">
    <w:p w:rsidR="000365B2" w:rsidRDefault="008B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C8" w:rsidRDefault="000A09C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5B2" w:rsidRDefault="008B7463">
      <w:r>
        <w:separator/>
      </w:r>
    </w:p>
  </w:footnote>
  <w:footnote w:type="continuationSeparator" w:id="0">
    <w:p w:rsidR="000365B2" w:rsidRDefault="008B7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C8" w:rsidRDefault="000A09C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9FA"/>
    <w:multiLevelType w:val="hybridMultilevel"/>
    <w:tmpl w:val="C66EDE8A"/>
    <w:styleLink w:val="ImportedStyle1"/>
    <w:lvl w:ilvl="0" w:tplc="F482A6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1A38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C45F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B801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1E80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3C73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A21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B414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7447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E45096"/>
    <w:multiLevelType w:val="hybridMultilevel"/>
    <w:tmpl w:val="7C6480DE"/>
    <w:styleLink w:val="ImportedStyle2"/>
    <w:lvl w:ilvl="0" w:tplc="59A201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A667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16E2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22E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E8FE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42BF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7844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FCB7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166E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65A6711"/>
    <w:multiLevelType w:val="hybridMultilevel"/>
    <w:tmpl w:val="7C6480DE"/>
    <w:numStyleLink w:val="ImportedStyle2"/>
  </w:abstractNum>
  <w:abstractNum w:abstractNumId="3" w15:restartNumberingAfterBreak="0">
    <w:nsid w:val="78BF1AD9"/>
    <w:multiLevelType w:val="hybridMultilevel"/>
    <w:tmpl w:val="C66EDE8A"/>
    <w:numStyleLink w:val="ImportedStyle1"/>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9C8"/>
    <w:rsid w:val="000365B2"/>
    <w:rsid w:val="000A09C8"/>
    <w:rsid w:val="00200CAA"/>
    <w:rsid w:val="008B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7C2AA-A501-4ED9-ABC6-7B1588BC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HeadingRed">
    <w:name w:val="Heading Red"/>
    <w:next w:val="Body"/>
    <w:pPr>
      <w:keepNext/>
      <w:outlineLvl w:val="1"/>
    </w:pPr>
    <w:rPr>
      <w:rFonts w:ascii="Helvetica Neue" w:eastAsia="Helvetica Neue" w:hAnsi="Helvetica Neue" w:cs="Helvetica Neue"/>
      <w:b/>
      <w:bCs/>
      <w:color w:val="ED220B"/>
      <w:sz w:val="32"/>
      <w:szCs w:val="32"/>
    </w:rPr>
  </w:style>
  <w:style w:type="paragraph" w:customStyle="1" w:styleId="Default">
    <w:name w:val="Default"/>
    <w:pPr>
      <w:widowControl w:val="0"/>
    </w:pPr>
    <w:rPr>
      <w:rFonts w:ascii="Calibri" w:eastAsia="Calibri" w:hAnsi="Calibri" w:cs="Calibri"/>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k@twobro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Steffens</cp:lastModifiedBy>
  <cp:revision>2</cp:revision>
  <dcterms:created xsi:type="dcterms:W3CDTF">2019-06-19T22:25:00Z</dcterms:created>
  <dcterms:modified xsi:type="dcterms:W3CDTF">2019-06-19T22:25:00Z</dcterms:modified>
</cp:coreProperties>
</file>